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5C" w:rsidRPr="00B4045C" w:rsidRDefault="00B4045C" w:rsidP="00B4045C">
      <w:pPr>
        <w:bidi/>
        <w:ind w:left="566" w:hanging="540"/>
        <w:jc w:val="both"/>
        <w:rPr>
          <w:rFonts w:ascii="DIN Next LT Arabic" w:hAnsi="DIN Next LT Arabic" w:cs="DIN Next LT Arabic"/>
          <w:color w:val="1F3864" w:themeColor="accent1" w:themeShade="80"/>
          <w:sz w:val="28"/>
          <w:szCs w:val="28"/>
          <w:bdr w:val="none" w:sz="0" w:space="0" w:color="auto" w:frame="1"/>
          <w:rtl/>
        </w:rPr>
      </w:pPr>
      <w:r w:rsidRPr="00B4045C">
        <w:rPr>
          <w:rFonts w:ascii="DIN Next LT Arabic" w:hAnsi="DIN Next LT Arabic" w:cs="DIN Next LT Arabic" w:hint="cs"/>
          <w:color w:val="1F3864" w:themeColor="accent1" w:themeShade="80"/>
          <w:sz w:val="28"/>
          <w:szCs w:val="28"/>
          <w:bdr w:val="none" w:sz="0" w:space="0" w:color="auto" w:frame="1"/>
          <w:rtl/>
        </w:rPr>
        <w:t>مع مراعاة قواعد عمل اللجنة</w:t>
      </w:r>
      <w:r w:rsidRPr="00B4045C">
        <w:rPr>
          <w:rFonts w:ascii="DIN Next LT Arabic" w:hAnsi="DIN Next LT Arabic" w:cs="DIN Next LT Arabic" w:hint="cs"/>
          <w:color w:val="1F3864" w:themeColor="accent1" w:themeShade="80"/>
          <w:sz w:val="28"/>
          <w:szCs w:val="28"/>
          <w:bdr w:val="none" w:sz="0" w:space="0" w:color="auto" w:frame="1"/>
          <w:rtl/>
        </w:rPr>
        <w:t>،</w:t>
      </w:r>
      <w:r w:rsidRPr="00B4045C">
        <w:rPr>
          <w:rFonts w:ascii="DIN Next LT Arabic" w:hAnsi="DIN Next LT Arabic" w:cs="DIN Next LT Arabic"/>
          <w:color w:val="1F3864" w:themeColor="accent1" w:themeShade="80"/>
          <w:sz w:val="28"/>
          <w:szCs w:val="28"/>
          <w:bdr w:val="none" w:sz="0" w:space="0" w:color="auto" w:frame="1"/>
          <w:rtl/>
        </w:rPr>
        <w:t xml:space="preserve"> </w:t>
      </w:r>
      <w:r w:rsidRPr="00B4045C">
        <w:rPr>
          <w:rFonts w:ascii="DIN Next LT Arabic" w:hAnsi="DIN Next LT Arabic" w:cs="DIN Next LT Arabic"/>
          <w:color w:val="1F3864" w:themeColor="accent1" w:themeShade="80"/>
          <w:sz w:val="28"/>
          <w:szCs w:val="28"/>
          <w:bdr w:val="none" w:sz="0" w:space="0" w:color="auto" w:frame="1"/>
          <w:rtl/>
        </w:rPr>
        <w:t>تحدد اللجنة الوثائق المطلوب توافرها لقيد المخالفة على أن تشمل الآتي</w:t>
      </w:r>
      <w:r w:rsidRPr="00B4045C">
        <w:rPr>
          <w:rFonts w:ascii="DIN Next LT Arabic" w:hAnsi="DIN Next LT Arabic" w:cs="DIN Next LT Arabic" w:hint="cs"/>
          <w:color w:val="1F3864" w:themeColor="accent1" w:themeShade="80"/>
          <w:sz w:val="28"/>
          <w:szCs w:val="28"/>
          <w:bdr w:val="none" w:sz="0" w:space="0" w:color="auto" w:frame="1"/>
          <w:rtl/>
        </w:rPr>
        <w:t>: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خطاب الجهة طالبة النظر في المخالفة.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الاسم الكامل للمخالف ومهنته أو وظيفته -إن وجدت- ومحل إقامته، ورقم السجل المدني أو السجل التجاري، والاسم الكامل لمن يمثله، ومهنته أو وظيفته، ومحل إقامته ورقم سجله المدني.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بيانات التواصل مع الجهة الحكومية والمتنافس أو المتعاقد.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موضوع المخالفة بالتفصيل مع إرفاق جميع المستندات والوثائق الداعمة.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تاريخ اكتشاف المخالفة.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مستندات طرح المنافسة.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sz w:val="28"/>
          <w:szCs w:val="28"/>
        </w:rPr>
      </w:pPr>
      <w:r>
        <w:rPr>
          <w:rFonts w:ascii="DIN Next LT Arabic" w:hAnsi="DIN Next LT Arabic" w:cs="DIN Next LT Arabic"/>
          <w:color w:val="000000"/>
          <w:sz w:val="28"/>
          <w:szCs w:val="28"/>
          <w:bdr w:val="none" w:sz="0" w:space="0" w:color="auto" w:frame="1"/>
          <w:rtl/>
        </w:rPr>
        <w:t>محاضر اللجان ذات العلاقة</w:t>
      </w:r>
      <w:r>
        <w:rPr>
          <w:rFonts w:ascii="DIN Next LT Arabic" w:hAnsi="DIN Next LT Arabic" w:cs="DIN Next LT Arabic"/>
          <w:sz w:val="28"/>
          <w:szCs w:val="28"/>
          <w:rtl/>
        </w:rPr>
        <w:t>.</w:t>
      </w:r>
    </w:p>
    <w:p w:rsidR="00B4045C" w:rsidRDefault="00B4045C" w:rsidP="00B4045C">
      <w:pPr>
        <w:pStyle w:val="ListParagraph"/>
        <w:numPr>
          <w:ilvl w:val="0"/>
          <w:numId w:val="1"/>
        </w:numPr>
        <w:bidi/>
        <w:spacing w:after="160" w:line="252" w:lineRule="auto"/>
        <w:ind w:left="566" w:hanging="540"/>
        <w:contextualSpacing/>
        <w:jc w:val="both"/>
        <w:rPr>
          <w:rFonts w:ascii="DIN Next LT Arabic" w:hAnsi="DIN Next LT Arabic" w:cs="DIN Next LT Arabic"/>
          <w:sz w:val="28"/>
          <w:szCs w:val="28"/>
        </w:rPr>
      </w:pPr>
      <w:r>
        <w:rPr>
          <w:rFonts w:ascii="DIN Next LT Arabic" w:hAnsi="DIN Next LT Arabic" w:cs="DIN Next LT Arabic"/>
          <w:sz w:val="28"/>
          <w:szCs w:val="28"/>
          <w:rtl/>
        </w:rPr>
        <w:t>أي وثائق أخرى ذات علاقة بموضوع المخالفة.</w:t>
      </w:r>
      <w:bookmarkStart w:id="0" w:name="_GoBack"/>
      <w:bookmarkEnd w:id="0"/>
    </w:p>
    <w:p w:rsidR="008A1A4B" w:rsidRDefault="008A1A4B" w:rsidP="00B4045C">
      <w:pPr>
        <w:jc w:val="right"/>
      </w:pPr>
    </w:p>
    <w:sectPr w:rsidR="008A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0AE"/>
    <w:multiLevelType w:val="hybridMultilevel"/>
    <w:tmpl w:val="3E4C5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5C"/>
    <w:rsid w:val="008A1A4B"/>
    <w:rsid w:val="00B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6795"/>
  <w15:chartTrackingRefBased/>
  <w15:docId w15:val="{9F7472EC-6B3D-4D77-BDEA-E545641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4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مانع القباع</dc:creator>
  <cp:keywords/>
  <dc:description/>
  <cp:lastModifiedBy>صالح مانع القباع</cp:lastModifiedBy>
  <cp:revision>1</cp:revision>
  <dcterms:created xsi:type="dcterms:W3CDTF">2023-05-18T09:17:00Z</dcterms:created>
  <dcterms:modified xsi:type="dcterms:W3CDTF">2023-05-18T09:23:00Z</dcterms:modified>
</cp:coreProperties>
</file>